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93" w:rsidRPr="00736A93" w:rsidRDefault="00736A93" w:rsidP="00736A93">
      <w:pPr>
        <w:spacing w:after="0"/>
        <w:jc w:val="center"/>
        <w:rPr>
          <w:rFonts w:asciiTheme="minorHAnsi" w:eastAsia="Times New Roman" w:hAnsiTheme="minorHAnsi" w:cs="Times New Roman"/>
          <w:caps/>
          <w:lang w:eastAsia="pt-BR"/>
        </w:rPr>
      </w:pPr>
      <w:bookmarkStart w:id="0" w:name="_GoBack"/>
      <w:r w:rsidRPr="00736A93">
        <w:rPr>
          <w:rFonts w:asciiTheme="minorHAnsi" w:eastAsia="Times New Roman" w:hAnsiTheme="minorHAnsi" w:cs="Times New Roman"/>
          <w:caps/>
          <w:lang w:eastAsia="pt-BR"/>
        </w:rPr>
        <w:t xml:space="preserve">RESOLUÇÃO Nº 4.336, DE 20 DE JUNHO DE </w:t>
      </w:r>
      <w:proofErr w:type="gramStart"/>
      <w:r w:rsidRPr="00736A93">
        <w:rPr>
          <w:rFonts w:asciiTheme="minorHAnsi" w:eastAsia="Times New Roman" w:hAnsiTheme="minorHAnsi" w:cs="Times New Roman"/>
          <w:caps/>
          <w:lang w:eastAsia="pt-BR"/>
        </w:rPr>
        <w:t>2014</w:t>
      </w:r>
      <w:proofErr w:type="gramEnd"/>
    </w:p>
    <w:bookmarkEnd w:id="0"/>
    <w:p w:rsidR="00736A93" w:rsidRPr="00736A93" w:rsidRDefault="00736A93" w:rsidP="00736A93">
      <w:pPr>
        <w:spacing w:after="0"/>
        <w:jc w:val="center"/>
        <w:rPr>
          <w:rFonts w:asciiTheme="minorHAnsi" w:eastAsia="Times New Roman" w:hAnsiTheme="minorHAnsi" w:cs="Times New Roman"/>
          <w:b/>
          <w:bCs/>
          <w:caps/>
          <w:color w:val="000000"/>
          <w:lang w:eastAsia="pt-BR"/>
        </w:rPr>
      </w:pPr>
    </w:p>
    <w:p w:rsidR="00736A93" w:rsidRDefault="00736A93" w:rsidP="00736A93">
      <w:pPr>
        <w:spacing w:after="0" w:line="300" w:lineRule="atLeast"/>
        <w:ind w:left="4536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Altera condições do Programa de Garantia da Atividade Agropecuária (Proagro), de que trata o Capítulo 16 do Manual de Crédito Rural (MCR).</w:t>
      </w: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O Banco Central do Brasil, na forma do art. 9º da Lei nº 4.595, de 31 de dezembro de 1964, torna público que o Conselho Monetário Nacional, em sessão extraordinária realizada em 20 de junho de 2014, tendo em vista as disposições dos </w:t>
      </w:r>
      <w:proofErr w:type="spell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arts</w:t>
      </w:r>
      <w:proofErr w:type="spellEnd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. 4º, inciso VI, da referida Lei, 4º e 14 da Lei nº 4.829, de </w:t>
      </w:r>
      <w:proofErr w:type="gram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5</w:t>
      </w:r>
      <w:proofErr w:type="gramEnd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 de novembro de 1965, 59 e 66-A da Lei nº 8.171, de 17 de janeiro de 1991, e 4º do Decreto nº 175, de 10 de julho de 1991,</w:t>
      </w:r>
    </w:p>
    <w:p w:rsid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R E S O L V E </w:t>
      </w:r>
      <w:proofErr w:type="gram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U :</w:t>
      </w:r>
      <w:proofErr w:type="gramEnd"/>
    </w:p>
    <w:p w:rsid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Art. 1º  O item 2-B da Seção 2 (Enquadramento</w:t>
      </w:r>
      <w:r w:rsidRPr="00736A93">
        <w:rPr>
          <w:rFonts w:asciiTheme="minorHAnsi" w:eastAsia="Times New Roman" w:hAnsiTheme="minorHAnsi" w:cs="Times New Roman"/>
          <w:b/>
          <w:bCs/>
          <w:color w:val="000000"/>
          <w:lang w:eastAsia="pt-BR"/>
        </w:rPr>
        <w:t>)</w:t>
      </w: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 do Capítulo 16 (Programa de Garantia da Atividade Agropecuária – Proagro</w:t>
      </w:r>
      <w:r w:rsidRPr="00736A93">
        <w:rPr>
          <w:rFonts w:asciiTheme="minorHAnsi" w:eastAsia="Times New Roman" w:hAnsiTheme="minorHAnsi" w:cs="Times New Roman"/>
          <w:b/>
          <w:bCs/>
          <w:color w:val="000000"/>
          <w:lang w:eastAsia="pt-BR"/>
        </w:rPr>
        <w:t>)</w:t>
      </w: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 do Manual de Crédito Rural (MCR) passa a vigorar com a seguinte redação: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proofErr w:type="gramStart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“2</w:t>
      </w:r>
      <w:proofErr w:type="gramEnd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-B - O crédito de custeio agrícola financiado com recursos controlados do crédito rural e destinado a empreendimento compreendido no ZARC deve ser contratado obrigatoriamente com enquadramento no Proagro, ou em modalidade de seguro rural, até o limite de R$300.000,00 (trezentos mil reais), observadas as condições estabelecidas nos itens 2-C, 12 e 13, e as disposições a seguir: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a) até 30/6/2015, a obrigatoriedade aplica-se às operações de custeio agrícola vinculadas ao Programa Nacional de Fortalecimento da Agricultura Familiar (Pronaf);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b) a partir de 1º/7/2015, a obrigatoriedade será aplicada a todas as operações de custeio agrícola referidas no </w:t>
      </w:r>
      <w:r w:rsidRPr="00736A93">
        <w:rPr>
          <w:rFonts w:asciiTheme="minorHAnsi" w:eastAsia="Times New Roman" w:hAnsiTheme="minorHAnsi" w:cs="Times New Roman"/>
          <w:b/>
          <w:bCs/>
          <w:i/>
          <w:color w:val="000000"/>
          <w:lang w:eastAsia="pt-BR"/>
        </w:rPr>
        <w:t>caput</w:t>
      </w: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.” (NR</w:t>
      </w:r>
      <w:proofErr w:type="gramStart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)</w:t>
      </w:r>
      <w:proofErr w:type="gramEnd"/>
    </w:p>
    <w:p w:rsid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Art. 2º  O item 2-C da Seção 2 do Capítulo 16 do MCR passa a vigorar com a seguinte redação:</w:t>
      </w:r>
    </w:p>
    <w:p w:rsidR="00736A93" w:rsidRPr="00736A93" w:rsidRDefault="00736A93" w:rsidP="00736A93">
      <w:pPr>
        <w:spacing w:after="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“2-C - Deve-se observar quanto ao valor do enquadramento de </w:t>
      </w:r>
      <w:proofErr w:type="gram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R$300.000,00 (trezentos mil reais) referido</w:t>
      </w:r>
      <w:proofErr w:type="gramEnd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 no item 2-B que: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a) empreendimento ou empreendimentos do mesmo beneficiário com valor ou somatório de valores inferior ou igual ao limite de R$300.000,00 (trezentos mil reais), nas condições estabelecidas nos itens 12 e 13, devem ser enquadrados no Proagro ou no seguro rural, obrigatoriamente;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b) empreendimento ou empreendimentos do mesmo beneficiário com valor ou somatório de valores superior ao limite de R$300.000,00 (trezentos mil reais), nas condições estabelecidas nos itens 12 e 13, devem ser enquadrados, obrigatoriamente:</w:t>
      </w:r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 xml:space="preserve">1 - no Proagro, o valor de R$300.000,00 (trezentos mil reais); </w:t>
      </w:r>
      <w:proofErr w:type="gramStart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ou</w:t>
      </w:r>
      <w:proofErr w:type="gramEnd"/>
    </w:p>
    <w:p w:rsidR="00736A93" w:rsidRPr="00736A93" w:rsidRDefault="00736A93" w:rsidP="00736A93">
      <w:pPr>
        <w:spacing w:after="0" w:line="300" w:lineRule="atLeast"/>
        <w:ind w:left="567"/>
        <w:rPr>
          <w:rFonts w:asciiTheme="minorHAnsi" w:eastAsia="Times New Roman" w:hAnsiTheme="minorHAnsi" w:cs="Times New Roman"/>
          <w:i/>
          <w:color w:val="000000"/>
          <w:lang w:eastAsia="pt-BR"/>
        </w:rPr>
      </w:pPr>
      <w:proofErr w:type="gramStart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>2 - no seguro rural, o valor mínimo de R$300.000,00 (trezentos mil reais).”</w:t>
      </w:r>
      <w:proofErr w:type="gramEnd"/>
      <w:r w:rsidRPr="00736A93">
        <w:rPr>
          <w:rFonts w:asciiTheme="minorHAnsi" w:eastAsia="Times New Roman" w:hAnsiTheme="minorHAnsi" w:cs="Times New Roman"/>
          <w:i/>
          <w:color w:val="000000"/>
          <w:lang w:eastAsia="pt-BR"/>
        </w:rPr>
        <w:t xml:space="preserve"> (NR)</w:t>
      </w:r>
    </w:p>
    <w:p w:rsidR="00736A93" w:rsidRDefault="00736A93" w:rsidP="00736A93">
      <w:pPr>
        <w:spacing w:after="10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</w:p>
    <w:p w:rsidR="00736A93" w:rsidRDefault="00736A93" w:rsidP="00736A93">
      <w:pPr>
        <w:spacing w:after="100" w:line="300" w:lineRule="atLeast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Art. 3º  Esta Resolução entra em vigor em 1º de julho de 2014.</w:t>
      </w:r>
    </w:p>
    <w:p w:rsidR="00736A93" w:rsidRPr="00736A93" w:rsidRDefault="00736A93" w:rsidP="00736A93">
      <w:pPr>
        <w:spacing w:after="100" w:line="300" w:lineRule="atLeast"/>
        <w:jc w:val="center"/>
        <w:rPr>
          <w:rFonts w:asciiTheme="minorHAnsi" w:eastAsia="Times New Roman" w:hAnsiTheme="minorHAnsi" w:cs="Times New Roman"/>
          <w:color w:val="000000"/>
          <w:lang w:eastAsia="pt-BR"/>
        </w:rPr>
      </w:pP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br/>
      </w:r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br/>
        <w:t xml:space="preserve">Alexandre </w:t>
      </w:r>
      <w:proofErr w:type="spell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Antonio</w:t>
      </w:r>
      <w:proofErr w:type="spellEnd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 xml:space="preserve"> </w:t>
      </w:r>
      <w:proofErr w:type="spellStart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t>Tombini</w:t>
      </w:r>
      <w:proofErr w:type="spellEnd"/>
      <w:r w:rsidRPr="00736A93">
        <w:rPr>
          <w:rFonts w:asciiTheme="minorHAnsi" w:eastAsia="Times New Roman" w:hAnsiTheme="minorHAnsi" w:cs="Times New Roman"/>
          <w:color w:val="000000"/>
          <w:lang w:eastAsia="pt-BR"/>
        </w:rPr>
        <w:br/>
        <w:t>Presidente do Banco Central do Brasil</w:t>
      </w:r>
    </w:p>
    <w:p w:rsidR="0036751F" w:rsidRDefault="0036751F"/>
    <w:sectPr w:rsidR="0036751F" w:rsidSect="0066217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93"/>
    <w:rsid w:val="001A0F16"/>
    <w:rsid w:val="002A691E"/>
    <w:rsid w:val="0036751F"/>
    <w:rsid w:val="00662174"/>
    <w:rsid w:val="00736A93"/>
    <w:rsid w:val="0082206E"/>
    <w:rsid w:val="00C0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A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36A93"/>
    <w:rPr>
      <w:b/>
      <w:bCs/>
    </w:rPr>
  </w:style>
  <w:style w:type="character" w:customStyle="1" w:styleId="apple-converted-space">
    <w:name w:val="apple-converted-space"/>
    <w:basedOn w:val="Fontepargpadro"/>
    <w:rsid w:val="00736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A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36A93"/>
    <w:rPr>
      <w:b/>
      <w:bCs/>
    </w:rPr>
  </w:style>
  <w:style w:type="character" w:customStyle="1" w:styleId="apple-converted-space">
    <w:name w:val="apple-converted-space"/>
    <w:basedOn w:val="Fontepargpadro"/>
    <w:rsid w:val="0073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4" w:color="auto"/>
          </w:divBdr>
        </w:div>
        <w:div w:id="1820265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Oliveira Poleze</dc:creator>
  <cp:lastModifiedBy>Paulo de Oliveira Poleze</cp:lastModifiedBy>
  <cp:revision>1</cp:revision>
  <dcterms:created xsi:type="dcterms:W3CDTF">2014-06-24T12:34:00Z</dcterms:created>
  <dcterms:modified xsi:type="dcterms:W3CDTF">2014-06-24T12:36:00Z</dcterms:modified>
</cp:coreProperties>
</file>